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0" w:rsidRDefault="002B2E82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lang w:val="zh-TW" w:eastAsia="zh-TW"/>
        </w:rPr>
      </w:pPr>
      <w:r>
        <w:rPr>
          <w:rFonts w:ascii="黑体" w:eastAsia="黑体" w:hAnsi="黑体" w:cs="黑体"/>
          <w:b/>
          <w:bCs/>
          <w:lang w:val="zh-TW" w:eastAsia="zh-TW"/>
        </w:rPr>
        <w:t>武汉理工大学与英国伯明翰大学</w:t>
      </w:r>
    </w:p>
    <w:p w:rsidR="00F31130" w:rsidRDefault="002B2E82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lang w:val="zh-TW" w:eastAsia="zh-TW"/>
        </w:rPr>
      </w:pPr>
      <w:r>
        <w:rPr>
          <w:rFonts w:ascii="黑体" w:eastAsia="黑体" w:hAnsi="黑体" w:cs="黑体"/>
          <w:b/>
          <w:bCs/>
          <w:lang w:val="zh-TW" w:eastAsia="zh-TW"/>
        </w:rPr>
        <w:t>学位项目介绍</w:t>
      </w:r>
    </w:p>
    <w:p w:rsidR="00F31130" w:rsidRDefault="00F31130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sz w:val="28"/>
          <w:szCs w:val="28"/>
        </w:rPr>
      </w:pPr>
    </w:p>
    <w:p w:rsidR="00F31130" w:rsidRDefault="002B2E82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color w:val="FF0000"/>
          <w:sz w:val="28"/>
          <w:szCs w:val="28"/>
          <w:u w:color="FF0000"/>
          <w:lang w:val="zh-TW" w:eastAsia="zh-TW"/>
        </w:rPr>
      </w:pP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疫情之下，英国伯明翰大学调整最新入学政策：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CN"/>
        </w:rPr>
        <w:t>2020年取消面试环节，提供线上面对面答疑解惑。</w:t>
      </w:r>
    </w:p>
    <w:p w:rsidR="00F31130" w:rsidRDefault="00F31130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sz w:val="28"/>
          <w:szCs w:val="28"/>
        </w:rPr>
      </w:pPr>
    </w:p>
    <w:p w:rsidR="00F31130" w:rsidRDefault="002B2E82">
      <w:pPr>
        <w:pStyle w:val="A5"/>
        <w:numPr>
          <w:ilvl w:val="0"/>
          <w:numId w:val="2"/>
        </w:numPr>
        <w:spacing w:line="276" w:lineRule="auto"/>
        <w:rPr>
          <w:rFonts w:ascii="黑体" w:eastAsia="黑体" w:hAnsi="黑体" w:cs="黑体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项目简介</w:t>
      </w:r>
    </w:p>
    <w:p w:rsidR="00F31130" w:rsidRDefault="002B2E82">
      <w:pPr>
        <w:pStyle w:val="A5"/>
        <w:spacing w:line="276" w:lineRule="auto"/>
        <w:ind w:firstLine="56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根据武汉理工大学与英国伯明翰大学（</w:t>
      </w:r>
      <w:r>
        <w:rPr>
          <w:rFonts w:ascii="黑体" w:eastAsia="黑体" w:hAnsi="黑体" w:cs="黑体"/>
          <w:sz w:val="28"/>
          <w:szCs w:val="28"/>
        </w:rPr>
        <w:t>University of Birmingham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）签订的校际合作交流协议，我校可选派优秀学生于</w:t>
      </w:r>
      <w:r>
        <w:rPr>
          <w:rFonts w:ascii="黑体" w:eastAsia="黑体" w:hAnsi="黑体" w:cs="黑体"/>
          <w:sz w:val="28"/>
          <w:szCs w:val="28"/>
        </w:rPr>
        <w:t>2020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</w:t>
      </w:r>
      <w:r>
        <w:rPr>
          <w:rFonts w:ascii="黑体" w:eastAsia="黑体" w:hAnsi="黑体" w:cs="黑体"/>
          <w:sz w:val="28"/>
          <w:szCs w:val="28"/>
        </w:rPr>
        <w:t>9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月前往该校交流学习。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color w:val="FF2600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color w:val="FF2600"/>
          <w:sz w:val="28"/>
          <w:szCs w:val="28"/>
          <w:lang w:val="zh-CN"/>
        </w:rPr>
        <w:t>New！1、</w:t>
      </w:r>
      <w:r>
        <w:rPr>
          <w:rFonts w:ascii="黑体" w:eastAsia="黑体" w:hAnsi="黑体" w:cs="黑体"/>
          <w:color w:val="FF2600"/>
          <w:sz w:val="28"/>
          <w:szCs w:val="28"/>
        </w:rPr>
        <w:t>“3+1”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双学位项目：我校学生完成</w:t>
      </w:r>
      <w:r>
        <w:rPr>
          <w:rFonts w:ascii="黑体" w:eastAsia="黑体" w:hAnsi="黑体" w:cs="黑体"/>
          <w:color w:val="FF2600"/>
          <w:sz w:val="28"/>
          <w:szCs w:val="28"/>
        </w:rPr>
        <w:t>3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年本科学习后，符合条件者可申请赴</w:t>
      </w:r>
      <w:r>
        <w:rPr>
          <w:rFonts w:ascii="黑体" w:eastAsia="黑体" w:hAnsi="黑体" w:cs="黑体"/>
          <w:color w:val="FF2600"/>
          <w:sz w:val="28"/>
          <w:szCs w:val="28"/>
        </w:rPr>
        <w:t>UOB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进行为期</w:t>
      </w:r>
      <w:r>
        <w:rPr>
          <w:rFonts w:ascii="黑体" w:eastAsia="黑体" w:hAnsi="黑体" w:cs="黑体"/>
          <w:color w:val="FF2600"/>
          <w:sz w:val="28"/>
          <w:szCs w:val="28"/>
        </w:rPr>
        <w:t>1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年的学习，完成该校毕业所需学分后，成绩合格者获得我校本科学位及该校本科学位。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CN"/>
        </w:rPr>
        <w:t>2、</w:t>
      </w:r>
      <w:r>
        <w:rPr>
          <w:rFonts w:ascii="黑体" w:eastAsia="黑体" w:hAnsi="黑体" w:cs="黑体"/>
          <w:sz w:val="28"/>
          <w:szCs w:val="28"/>
        </w:rPr>
        <w:t>“2+2”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双学位项目：我校学生完成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年本科学习后，符合条件者可申请赴</w:t>
      </w:r>
      <w:r>
        <w:rPr>
          <w:rFonts w:ascii="黑体" w:eastAsia="黑体" w:hAnsi="黑体" w:cs="黑体"/>
          <w:sz w:val="28"/>
          <w:szCs w:val="28"/>
        </w:rPr>
        <w:t>UOB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进行为期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年的学习，完成该校毕业所需学分后，成绩合格者获得我校本科学位及该校本科学位。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CN"/>
        </w:rPr>
        <w:t>3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</w:t>
      </w:r>
      <w:r>
        <w:rPr>
          <w:rFonts w:ascii="黑体" w:eastAsia="黑体" w:hAnsi="黑体" w:cs="黑体"/>
          <w:sz w:val="28"/>
          <w:szCs w:val="28"/>
        </w:rPr>
        <w:t>“2+3”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本升硕项目：我校学生完成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年本科学习后，符合条件者可申请赴</w:t>
      </w:r>
      <w:r>
        <w:rPr>
          <w:rFonts w:ascii="黑体" w:eastAsia="黑体" w:hAnsi="黑体" w:cs="黑体"/>
          <w:sz w:val="28"/>
          <w:szCs w:val="28"/>
        </w:rPr>
        <w:t>UOB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继续学习</w:t>
      </w:r>
      <w:r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年，成绩合格者获得我校本科学位及伯明翰大学硕士学位。</w:t>
      </w:r>
    </w:p>
    <w:p w:rsidR="00F31130" w:rsidRDefault="002B2E82">
      <w:pPr>
        <w:pStyle w:val="A5"/>
        <w:spacing w:line="276" w:lineRule="auto"/>
        <w:jc w:val="left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4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</w:t>
      </w:r>
      <w:r>
        <w:rPr>
          <w:rFonts w:ascii="黑体" w:eastAsia="黑体" w:hAnsi="黑体" w:cs="黑体"/>
          <w:sz w:val="28"/>
          <w:szCs w:val="28"/>
        </w:rPr>
        <w:t>“4+1”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本升硕项目：我校学生完成</w:t>
      </w:r>
      <w:r>
        <w:rPr>
          <w:rFonts w:ascii="黑体" w:eastAsia="黑体" w:hAnsi="黑体" w:cs="黑体"/>
          <w:sz w:val="28"/>
          <w:szCs w:val="28"/>
        </w:rPr>
        <w:t>4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年本科学习后，符合条件者可申请赴伯明翰大学进行为期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年的学习，完成该校毕业所需学分后，成绩合格者获得伯明翰大学理学硕士学位。</w:t>
      </w:r>
    </w:p>
    <w:p w:rsidR="00F31130" w:rsidRDefault="00F31130">
      <w:pPr>
        <w:pStyle w:val="A5"/>
        <w:spacing w:line="276" w:lineRule="auto"/>
        <w:jc w:val="left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A5"/>
        <w:numPr>
          <w:ilvl w:val="0"/>
          <w:numId w:val="2"/>
        </w:numPr>
        <w:spacing w:line="276" w:lineRule="auto"/>
        <w:rPr>
          <w:rFonts w:ascii="黑体" w:eastAsia="黑体" w:hAnsi="黑体" w:cs="黑体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选拔对象及名额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、选拔对象：</w:t>
      </w:r>
    </w:p>
    <w:p w:rsidR="00F31130" w:rsidRDefault="002B2E82">
      <w:pPr>
        <w:pStyle w:val="A5"/>
        <w:numPr>
          <w:ilvl w:val="0"/>
          <w:numId w:val="4"/>
        </w:numPr>
        <w:spacing w:line="276" w:lineRule="auto"/>
        <w:rPr>
          <w:rFonts w:ascii="黑体" w:eastAsia="黑体" w:hAnsi="黑体" w:cs="黑体" w:hint="default"/>
          <w:color w:val="FF2600"/>
          <w:sz w:val="28"/>
          <w:szCs w:val="28"/>
        </w:rPr>
      </w:pPr>
      <w:r>
        <w:rPr>
          <w:rFonts w:ascii="黑体" w:eastAsia="黑体" w:hAnsi="黑体" w:cs="黑体"/>
          <w:color w:val="FF2600"/>
          <w:sz w:val="28"/>
          <w:szCs w:val="28"/>
        </w:rPr>
        <w:t xml:space="preserve">NEW! </w:t>
      </w:r>
      <w:bookmarkStart w:id="0" w:name="OLE_LINK1"/>
      <w:r>
        <w:rPr>
          <w:rFonts w:ascii="黑体" w:eastAsia="黑体" w:hAnsi="黑体" w:cs="黑体"/>
          <w:color w:val="FF2600"/>
          <w:sz w:val="28"/>
          <w:szCs w:val="28"/>
        </w:rPr>
        <w:t>“</w:t>
      </w:r>
      <w:bookmarkStart w:id="1" w:name="OLE_LINK2"/>
      <w:bookmarkEnd w:id="0"/>
      <w:r>
        <w:rPr>
          <w:rFonts w:ascii="黑体" w:eastAsia="黑体" w:hAnsi="黑体" w:cs="黑体"/>
          <w:color w:val="FF2600"/>
          <w:sz w:val="28"/>
          <w:szCs w:val="28"/>
        </w:rPr>
        <w:t>3+1”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项目：我校电子工程及其自动化、电子信息技术专业背景在校</w:t>
      </w:r>
      <w:r>
        <w:rPr>
          <w:rFonts w:ascii="黑体" w:eastAsia="黑体" w:hAnsi="黑体" w:cs="黑体"/>
          <w:color w:val="FF2600"/>
          <w:sz w:val="28"/>
          <w:szCs w:val="28"/>
          <w:u w:val="single"/>
          <w:lang w:val="zh-TW" w:eastAsia="zh-TW"/>
        </w:rPr>
        <w:t>三年级全日制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本科生，赴伯明翰大学攻读电子与电气工程、电气与铁路工程相关专业；</w:t>
      </w:r>
      <w:bookmarkEnd w:id="1"/>
    </w:p>
    <w:p w:rsidR="00F31130" w:rsidRDefault="002B2E82">
      <w:pPr>
        <w:pStyle w:val="A5"/>
        <w:numPr>
          <w:ilvl w:val="0"/>
          <w:numId w:val="4"/>
        </w:numPr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“2+2/3”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项目：我校理工类专业背景在校</w:t>
      </w:r>
      <w:r>
        <w:rPr>
          <w:rFonts w:ascii="黑体" w:eastAsia="黑体" w:hAnsi="黑体" w:cs="黑体"/>
          <w:sz w:val="28"/>
          <w:szCs w:val="28"/>
          <w:u w:val="single"/>
          <w:lang w:val="zh-TW" w:eastAsia="zh-TW"/>
        </w:rPr>
        <w:t>二年级全日制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本科生，赴伯明翰大学攻读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电子与电气工程、</w:t>
      </w:r>
      <w:r w:rsidR="00B80173" w:rsidRPr="00B80173">
        <w:rPr>
          <w:rFonts w:ascii="黑体" w:eastAsia="黑体" w:hAnsi="黑体" w:cs="黑体"/>
          <w:sz w:val="28"/>
          <w:szCs w:val="28"/>
          <w:lang w:val="zh-TW"/>
        </w:rPr>
        <w:t>电气与铁路工程、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土木工程、机械工程、机械与汽车工程、</w:t>
      </w:r>
      <w:r w:rsidR="00B80173" w:rsidRPr="00B80173">
        <w:rPr>
          <w:rFonts w:ascii="黑体" w:eastAsia="黑体" w:hAnsi="黑体" w:cs="黑体"/>
          <w:sz w:val="28"/>
          <w:szCs w:val="28"/>
          <w:lang w:val="zh-TW"/>
        </w:rPr>
        <w:t>机电一体化及机器人工程、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lastRenderedPageBreak/>
        <w:t>冶金</w:t>
      </w:r>
      <w:r w:rsidRPr="00B80173">
        <w:rPr>
          <w:rFonts w:ascii="黑体" w:eastAsia="黑体" w:hAnsi="黑体" w:cs="黑体"/>
          <w:sz w:val="28"/>
          <w:szCs w:val="28"/>
        </w:rPr>
        <w:t>/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材料工程、材料科学与技术及材料工程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类相关专业；</w:t>
      </w:r>
    </w:p>
    <w:p w:rsidR="00F31130" w:rsidRDefault="002B2E82">
      <w:pPr>
        <w:pStyle w:val="A5"/>
        <w:numPr>
          <w:ilvl w:val="0"/>
          <w:numId w:val="4"/>
        </w:numPr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“4+1”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项目：我校理工类专业背景在校</w:t>
      </w:r>
      <w:r>
        <w:rPr>
          <w:rFonts w:ascii="黑体" w:eastAsia="黑体" w:hAnsi="黑体" w:cs="黑体"/>
          <w:sz w:val="28"/>
          <w:szCs w:val="28"/>
          <w:u w:val="single"/>
          <w:lang w:val="zh-TW" w:eastAsia="zh-TW"/>
        </w:rPr>
        <w:t>大四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应届毕业生，赴伯明翰大学攻读高级机械工程、工程管理、运营管理、项目管理、施工管理、岩土工程、岩土工程与管理、铁路系统工程与系统集成、河环境管理、道路管理科学与工程</w:t>
      </w:r>
      <w:r>
        <w:rPr>
          <w:rFonts w:ascii="黑体" w:eastAsia="黑体" w:hAnsi="黑体" w:cs="黑体"/>
          <w:sz w:val="28"/>
          <w:szCs w:val="28"/>
        </w:rPr>
        <w:t>/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道路和公共政策、水资源技术与管理、电子及计算机工程学、通信工程、卫星通信和移动通信、通信网络、互动数码媒体、嵌入式系统等相关专业；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、招生名额：不限，武汉理工大学推荐，伯明翰大学择优录取。</w:t>
      </w:r>
    </w:p>
    <w:p w:rsidR="00F31130" w:rsidRDefault="00F31130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A5"/>
        <w:numPr>
          <w:ilvl w:val="0"/>
          <w:numId w:val="5"/>
        </w:numPr>
        <w:spacing w:line="276" w:lineRule="auto"/>
        <w:rPr>
          <w:rFonts w:ascii="黑体" w:eastAsia="黑体" w:hAnsi="黑体" w:cs="黑体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录取条件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color w:val="FF2600"/>
          <w:sz w:val="28"/>
          <w:szCs w:val="28"/>
        </w:rPr>
      </w:pPr>
      <w:r>
        <w:rPr>
          <w:rFonts w:ascii="Times New Roman" w:hAnsi="Times New Roman"/>
          <w:color w:val="FF2600"/>
        </w:rPr>
        <w:t xml:space="preserve">NEW! </w:t>
      </w:r>
      <w:r>
        <w:rPr>
          <w:rFonts w:ascii="黑体" w:eastAsia="黑体" w:hAnsi="黑体" w:cs="黑体"/>
          <w:color w:val="FF2600"/>
          <w:sz w:val="28"/>
          <w:szCs w:val="28"/>
        </w:rPr>
        <w:t>1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、</w:t>
      </w:r>
      <w:r>
        <w:rPr>
          <w:rFonts w:ascii="黑体" w:eastAsia="黑体" w:hAnsi="黑体" w:cs="黑体"/>
          <w:color w:val="FF2600"/>
          <w:sz w:val="28"/>
          <w:szCs w:val="28"/>
        </w:rPr>
        <w:t>“3+1”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项目：</w:t>
      </w:r>
    </w:p>
    <w:p w:rsidR="00F31130" w:rsidRDefault="002B2E82">
      <w:pPr>
        <w:pStyle w:val="A5"/>
        <w:numPr>
          <w:ilvl w:val="0"/>
          <w:numId w:val="7"/>
        </w:numPr>
        <w:spacing w:line="276" w:lineRule="auto"/>
        <w:rPr>
          <w:rFonts w:ascii="黑体" w:eastAsia="黑体" w:hAnsi="黑体" w:cs="黑体" w:hint="default"/>
          <w:color w:val="FF2600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在校</w:t>
      </w:r>
      <w:r>
        <w:rPr>
          <w:rFonts w:ascii="黑体" w:eastAsia="黑体" w:hAnsi="黑体" w:cs="黑体"/>
          <w:color w:val="FF2600"/>
          <w:sz w:val="28"/>
          <w:szCs w:val="28"/>
        </w:rPr>
        <w:t>GPA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达到</w:t>
      </w:r>
      <w:r>
        <w:rPr>
          <w:rFonts w:ascii="黑体" w:eastAsia="黑体" w:hAnsi="黑体" w:cs="黑体"/>
          <w:color w:val="FF2600"/>
          <w:sz w:val="28"/>
          <w:szCs w:val="28"/>
        </w:rPr>
        <w:t>75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分以上（百分制），且专业课占武汉理工大学前两年课程的</w:t>
      </w:r>
      <w:r>
        <w:rPr>
          <w:rFonts w:ascii="黑体" w:eastAsia="黑体" w:hAnsi="黑体" w:cs="黑体"/>
          <w:color w:val="FF2600"/>
          <w:sz w:val="28"/>
          <w:szCs w:val="28"/>
        </w:rPr>
        <w:t>60%</w:t>
      </w:r>
      <w:r w:rsidR="0003681A">
        <w:rPr>
          <w:rFonts w:ascii="黑体" w:eastAsia="黑体" w:hAnsi="黑体" w:cs="黑体"/>
          <w:color w:val="FF2600"/>
          <w:sz w:val="28"/>
          <w:szCs w:val="28"/>
        </w:rPr>
        <w:t>，在武汉理工大学的三年内</w:t>
      </w:r>
      <w:r w:rsidR="00B80173">
        <w:rPr>
          <w:rFonts w:ascii="黑体" w:eastAsia="黑体" w:hAnsi="黑体" w:cs="黑体"/>
          <w:color w:val="FF2600"/>
          <w:sz w:val="28"/>
          <w:szCs w:val="28"/>
        </w:rPr>
        <w:t>无</w:t>
      </w:r>
      <w:r w:rsidR="0003681A">
        <w:rPr>
          <w:rFonts w:ascii="黑体" w:eastAsia="黑体" w:hAnsi="黑体" w:cs="黑体"/>
          <w:color w:val="FF2600"/>
          <w:sz w:val="28"/>
          <w:szCs w:val="28"/>
        </w:rPr>
        <w:t>挂科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；</w:t>
      </w:r>
    </w:p>
    <w:p w:rsidR="00F31130" w:rsidRDefault="002B2E82">
      <w:pPr>
        <w:pStyle w:val="A5"/>
        <w:numPr>
          <w:ilvl w:val="0"/>
          <w:numId w:val="7"/>
        </w:numPr>
        <w:spacing w:line="276" w:lineRule="auto"/>
        <w:rPr>
          <w:rFonts w:ascii="黑体" w:eastAsia="黑体" w:hAnsi="黑体" w:cs="黑体" w:hint="default"/>
          <w:color w:val="FF2600"/>
          <w:sz w:val="28"/>
          <w:szCs w:val="28"/>
          <w:lang w:eastAsia="zh-TW"/>
        </w:rPr>
      </w:pPr>
      <w:r>
        <w:rPr>
          <w:rFonts w:ascii="黑体" w:eastAsia="黑体" w:hAnsi="黑体" w:cs="黑体"/>
          <w:color w:val="FF2600"/>
          <w:sz w:val="28"/>
          <w:szCs w:val="28"/>
          <w:lang w:eastAsia="zh-TW"/>
        </w:rPr>
        <w:t>IELTS(UKVI)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达到</w:t>
      </w:r>
      <w:r>
        <w:rPr>
          <w:rFonts w:ascii="黑体" w:eastAsia="黑体" w:hAnsi="黑体" w:cs="黑体"/>
          <w:color w:val="FF2600"/>
          <w:sz w:val="28"/>
          <w:szCs w:val="28"/>
          <w:lang w:eastAsia="zh-TW"/>
        </w:rPr>
        <w:t>6.0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分（单项不低于</w:t>
      </w:r>
      <w:r>
        <w:rPr>
          <w:rFonts w:ascii="黑体" w:eastAsia="黑体" w:hAnsi="黑体" w:cs="黑体"/>
          <w:color w:val="FF2600"/>
          <w:sz w:val="28"/>
          <w:szCs w:val="28"/>
          <w:lang w:eastAsia="zh-TW"/>
        </w:rPr>
        <w:t>5.5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分），或</w:t>
      </w:r>
      <w:r>
        <w:rPr>
          <w:rFonts w:ascii="黑体" w:eastAsia="黑体" w:hAnsi="黑体" w:cs="黑体"/>
          <w:color w:val="FF2600"/>
          <w:sz w:val="28"/>
          <w:szCs w:val="28"/>
          <w:lang w:eastAsia="zh-TW"/>
        </w:rPr>
        <w:t>TOEFL 80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分以上（</w:t>
      </w:r>
      <w:r>
        <w:rPr>
          <w:rFonts w:ascii="黑体" w:eastAsia="黑体" w:hAnsi="黑体" w:cs="黑体"/>
          <w:color w:val="FF2600"/>
          <w:sz w:val="28"/>
          <w:szCs w:val="28"/>
          <w:lang w:eastAsia="zh-TW"/>
        </w:rPr>
        <w:t>R19,L19,S21,W19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）</w:t>
      </w:r>
      <w:r>
        <w:rPr>
          <w:rFonts w:ascii="黑体" w:eastAsia="黑体" w:hAnsi="黑体" w:cs="黑体"/>
          <w:color w:val="FF2600"/>
          <w:sz w:val="28"/>
          <w:szCs w:val="28"/>
          <w:lang w:eastAsia="zh-TW"/>
        </w:rPr>
        <w:t>,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或</w:t>
      </w:r>
      <w:r>
        <w:rPr>
          <w:rFonts w:ascii="黑体" w:eastAsia="黑体" w:hAnsi="黑体" w:cs="黑体"/>
          <w:color w:val="FF2600"/>
          <w:sz w:val="28"/>
          <w:szCs w:val="28"/>
          <w:lang w:eastAsia="zh-TW"/>
        </w:rPr>
        <w:t>PTE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学术英语考试四项技能不低于</w:t>
      </w:r>
      <w:r>
        <w:rPr>
          <w:rFonts w:ascii="黑体" w:eastAsia="黑体" w:hAnsi="黑体" w:cs="黑体"/>
          <w:color w:val="FF2600"/>
          <w:sz w:val="28"/>
          <w:szCs w:val="28"/>
          <w:lang w:eastAsia="zh-TW"/>
        </w:rPr>
        <w:t>51</w:t>
      </w:r>
      <w:r>
        <w:rPr>
          <w:rFonts w:ascii="黑体" w:eastAsia="黑体" w:hAnsi="黑体" w:cs="黑体"/>
          <w:color w:val="FF2600"/>
          <w:sz w:val="28"/>
          <w:szCs w:val="28"/>
          <w:lang w:val="zh-TW" w:eastAsia="zh-TW"/>
        </w:rPr>
        <w:t>分；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2</w:t>
      </w:r>
      <w:r>
        <w:rPr>
          <w:rFonts w:ascii="黑体" w:eastAsia="黑体" w:hAnsi="黑体" w:cs="黑体"/>
          <w:sz w:val="28"/>
          <w:szCs w:val="28"/>
          <w:lang w:val="zh-CN"/>
        </w:rPr>
        <w:t>、</w:t>
      </w:r>
      <w:r>
        <w:rPr>
          <w:rFonts w:ascii="黑体" w:eastAsia="黑体" w:hAnsi="黑体" w:cs="黑体"/>
          <w:sz w:val="28"/>
          <w:szCs w:val="28"/>
        </w:rPr>
        <w:t>“2+2/3”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项目：</w:t>
      </w:r>
    </w:p>
    <w:p w:rsidR="00B80173" w:rsidRPr="00B80173" w:rsidRDefault="002B2E82" w:rsidP="00B80173">
      <w:pPr>
        <w:pStyle w:val="A5"/>
        <w:numPr>
          <w:ilvl w:val="0"/>
          <w:numId w:val="9"/>
        </w:numPr>
        <w:spacing w:line="276" w:lineRule="auto"/>
        <w:rPr>
          <w:rFonts w:ascii="黑体" w:eastAsia="黑体" w:hAnsi="黑体" w:cs="黑体"/>
          <w:sz w:val="28"/>
          <w:szCs w:val="28"/>
          <w:lang w:eastAsia="zh-TW"/>
        </w:rPr>
      </w:pP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在校</w:t>
      </w:r>
      <w:r w:rsidRPr="00B80173">
        <w:rPr>
          <w:rFonts w:ascii="黑体" w:eastAsia="黑体" w:hAnsi="黑体" w:cs="黑体"/>
          <w:sz w:val="28"/>
          <w:szCs w:val="28"/>
        </w:rPr>
        <w:t>GPA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达到</w:t>
      </w:r>
      <w:r w:rsidRPr="00B80173">
        <w:rPr>
          <w:rFonts w:ascii="黑体" w:eastAsia="黑体" w:hAnsi="黑体" w:cs="黑体"/>
          <w:sz w:val="28"/>
          <w:szCs w:val="28"/>
        </w:rPr>
        <w:t>7</w:t>
      </w:r>
      <w:r w:rsidR="00B80173" w:rsidRPr="00B80173">
        <w:rPr>
          <w:rFonts w:ascii="黑体" w:eastAsia="黑体" w:hAnsi="黑体" w:cs="黑体"/>
          <w:sz w:val="28"/>
          <w:szCs w:val="28"/>
        </w:rPr>
        <w:t>0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分以上（百分制）</w:t>
      </w:r>
      <w:r w:rsidR="00B80173">
        <w:rPr>
          <w:rFonts w:ascii="黑体" w:eastAsia="黑体" w:hAnsi="黑体" w:cs="黑体"/>
          <w:sz w:val="28"/>
          <w:szCs w:val="28"/>
          <w:lang w:val="zh-TW" w:eastAsia="zh-TW"/>
        </w:rPr>
        <w:t>，</w:t>
      </w:r>
      <w:r w:rsidR="00B80173" w:rsidRPr="00B80173">
        <w:rPr>
          <w:rFonts w:ascii="黑体" w:eastAsia="黑体" w:hAnsi="黑体" w:cs="黑体"/>
          <w:sz w:val="28"/>
          <w:szCs w:val="28"/>
          <w:lang w:val="zh-TW" w:eastAsia="zh-TW"/>
        </w:rPr>
        <w:t>且专业课占武汉理工大学前两年课程的60%，在武汉理工大学的</w:t>
      </w:r>
      <w:r w:rsidR="00B80173">
        <w:rPr>
          <w:rFonts w:ascii="黑体" w:eastAsia="黑体" w:hAnsi="黑体" w:cs="黑体"/>
          <w:sz w:val="28"/>
          <w:szCs w:val="28"/>
          <w:lang w:val="zh-TW"/>
        </w:rPr>
        <w:t>两</w:t>
      </w:r>
      <w:r w:rsidR="00B80173" w:rsidRPr="00B80173">
        <w:rPr>
          <w:rFonts w:ascii="黑体" w:eastAsia="黑体" w:hAnsi="黑体" w:cs="黑体"/>
          <w:sz w:val="28"/>
          <w:szCs w:val="28"/>
          <w:lang w:val="zh-TW" w:eastAsia="zh-TW"/>
        </w:rPr>
        <w:t>年内无挂科；</w:t>
      </w:r>
    </w:p>
    <w:p w:rsidR="00F31130" w:rsidRPr="00B80173" w:rsidRDefault="002B2E82" w:rsidP="00B80173">
      <w:pPr>
        <w:pStyle w:val="A5"/>
        <w:numPr>
          <w:ilvl w:val="0"/>
          <w:numId w:val="9"/>
        </w:numPr>
        <w:spacing w:line="276" w:lineRule="auto"/>
        <w:rPr>
          <w:rFonts w:ascii="黑体" w:eastAsia="黑体" w:hAnsi="黑体" w:cs="黑体" w:hint="default"/>
          <w:sz w:val="28"/>
          <w:szCs w:val="28"/>
          <w:lang w:eastAsia="zh-TW"/>
        </w:rPr>
      </w:pPr>
      <w:r w:rsidRPr="00B80173">
        <w:rPr>
          <w:rFonts w:ascii="黑体" w:eastAsia="黑体" w:hAnsi="黑体" w:cs="黑体"/>
          <w:sz w:val="28"/>
          <w:szCs w:val="28"/>
          <w:lang w:eastAsia="zh-TW"/>
        </w:rPr>
        <w:t>IELTS(UKVI)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达到</w:t>
      </w:r>
      <w:r w:rsidRPr="00B80173">
        <w:rPr>
          <w:rFonts w:ascii="黑体" w:eastAsia="黑体" w:hAnsi="黑体" w:cs="黑体"/>
          <w:sz w:val="28"/>
          <w:szCs w:val="28"/>
          <w:lang w:eastAsia="zh-TW"/>
        </w:rPr>
        <w:t>6.0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分（单项不低于</w:t>
      </w:r>
      <w:r w:rsidRPr="00B80173">
        <w:rPr>
          <w:rFonts w:ascii="黑体" w:eastAsia="黑体" w:hAnsi="黑体" w:cs="黑体"/>
          <w:sz w:val="28"/>
          <w:szCs w:val="28"/>
          <w:lang w:eastAsia="zh-TW"/>
        </w:rPr>
        <w:t>5.5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分），或</w:t>
      </w:r>
      <w:r w:rsidRPr="00B80173">
        <w:rPr>
          <w:rFonts w:ascii="黑体" w:eastAsia="黑体" w:hAnsi="黑体" w:cs="黑体"/>
          <w:sz w:val="28"/>
          <w:szCs w:val="28"/>
          <w:lang w:eastAsia="zh-TW"/>
        </w:rPr>
        <w:t>TOEFL 80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分以上（</w:t>
      </w:r>
      <w:r w:rsidRPr="00B80173">
        <w:rPr>
          <w:rFonts w:ascii="黑体" w:eastAsia="黑体" w:hAnsi="黑体" w:cs="黑体"/>
          <w:sz w:val="28"/>
          <w:szCs w:val="28"/>
          <w:lang w:eastAsia="zh-TW"/>
        </w:rPr>
        <w:t>R19,L19,S21,W19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）</w:t>
      </w:r>
      <w:r w:rsidRPr="00B80173">
        <w:rPr>
          <w:rFonts w:ascii="黑体" w:eastAsia="黑体" w:hAnsi="黑体" w:cs="黑体"/>
          <w:sz w:val="28"/>
          <w:szCs w:val="28"/>
          <w:lang w:eastAsia="zh-TW"/>
        </w:rPr>
        <w:t>,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或</w:t>
      </w:r>
      <w:r w:rsidRPr="00B80173">
        <w:rPr>
          <w:rFonts w:ascii="黑体" w:eastAsia="黑体" w:hAnsi="黑体" w:cs="黑体"/>
          <w:sz w:val="28"/>
          <w:szCs w:val="28"/>
          <w:lang w:eastAsia="zh-TW"/>
        </w:rPr>
        <w:t>PTE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学术英语考试四项技能不低于</w:t>
      </w:r>
      <w:r w:rsidRPr="00B80173">
        <w:rPr>
          <w:rFonts w:ascii="黑体" w:eastAsia="黑体" w:hAnsi="黑体" w:cs="黑体"/>
          <w:sz w:val="28"/>
          <w:szCs w:val="28"/>
          <w:lang w:eastAsia="zh-TW"/>
        </w:rPr>
        <w:t>51</w:t>
      </w:r>
      <w:r w:rsidRPr="00B80173">
        <w:rPr>
          <w:rFonts w:ascii="黑体" w:eastAsia="黑体" w:hAnsi="黑体" w:cs="黑体"/>
          <w:sz w:val="28"/>
          <w:szCs w:val="28"/>
          <w:lang w:val="zh-TW" w:eastAsia="zh-TW"/>
        </w:rPr>
        <w:t>分；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CN"/>
        </w:rPr>
        <w:t>3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</w:t>
      </w:r>
      <w:r>
        <w:rPr>
          <w:rFonts w:ascii="黑体" w:eastAsia="黑体" w:hAnsi="黑体" w:cs="黑体"/>
          <w:sz w:val="28"/>
          <w:szCs w:val="28"/>
        </w:rPr>
        <w:t>“4+1”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项目：</w:t>
      </w:r>
    </w:p>
    <w:p w:rsidR="00F31130" w:rsidRDefault="002B2E82">
      <w:pPr>
        <w:pStyle w:val="A5"/>
        <w:numPr>
          <w:ilvl w:val="0"/>
          <w:numId w:val="11"/>
        </w:numPr>
        <w:spacing w:line="276" w:lineRule="auto"/>
        <w:rPr>
          <w:rFonts w:ascii="黑体" w:eastAsia="黑体" w:hAnsi="黑体" w:cs="黑体" w:hint="default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在校</w:t>
      </w:r>
      <w:r>
        <w:rPr>
          <w:rFonts w:ascii="黑体" w:eastAsia="黑体" w:hAnsi="黑体" w:cs="黑体"/>
          <w:sz w:val="28"/>
          <w:szCs w:val="28"/>
        </w:rPr>
        <w:t>GPA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达到</w:t>
      </w:r>
      <w:r>
        <w:rPr>
          <w:rFonts w:ascii="黑体" w:eastAsia="黑体" w:hAnsi="黑体" w:cs="黑体"/>
          <w:sz w:val="28"/>
          <w:szCs w:val="28"/>
        </w:rPr>
        <w:t>80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分以上（百分制）；</w:t>
      </w:r>
    </w:p>
    <w:p w:rsidR="00F31130" w:rsidRPr="00B80173" w:rsidRDefault="002B2E82">
      <w:pPr>
        <w:pStyle w:val="A5"/>
        <w:numPr>
          <w:ilvl w:val="0"/>
          <w:numId w:val="11"/>
        </w:numPr>
        <w:spacing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IELTS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（</w:t>
      </w:r>
      <w:r>
        <w:rPr>
          <w:rFonts w:ascii="黑体" w:eastAsia="黑体" w:hAnsi="黑体" w:cs="黑体"/>
          <w:sz w:val="28"/>
          <w:szCs w:val="28"/>
        </w:rPr>
        <w:t>UKVI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）达到</w:t>
      </w:r>
      <w:r>
        <w:rPr>
          <w:rFonts w:ascii="黑体" w:eastAsia="黑体" w:hAnsi="黑体" w:cs="黑体"/>
          <w:sz w:val="28"/>
          <w:szCs w:val="28"/>
        </w:rPr>
        <w:t>6.0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分（单项不低于</w:t>
      </w:r>
      <w:r>
        <w:rPr>
          <w:rFonts w:ascii="黑体" w:eastAsia="黑体" w:hAnsi="黑体" w:cs="黑体"/>
          <w:sz w:val="28"/>
          <w:szCs w:val="28"/>
        </w:rPr>
        <w:t>5.5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分），或</w:t>
      </w:r>
      <w:r>
        <w:rPr>
          <w:rFonts w:ascii="黑体" w:eastAsia="黑体" w:hAnsi="黑体" w:cs="黑体"/>
          <w:sz w:val="28"/>
          <w:szCs w:val="28"/>
        </w:rPr>
        <w:t>PTE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学术英语考试四项技能不低于</w:t>
      </w:r>
      <w:r>
        <w:rPr>
          <w:rFonts w:ascii="黑体" w:eastAsia="黑体" w:hAnsi="黑体" w:cs="黑体"/>
          <w:sz w:val="28"/>
          <w:szCs w:val="28"/>
        </w:rPr>
        <w:t>51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分；</w:t>
      </w:r>
    </w:p>
    <w:p w:rsidR="00B80173" w:rsidRDefault="00B80173" w:rsidP="00B80173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4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、通过伯明翰大学材料审核。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color w:val="FF0000"/>
          <w:sz w:val="28"/>
          <w:szCs w:val="28"/>
          <w:u w:val="single" w:color="FF0000"/>
        </w:rPr>
        <w:t xml:space="preserve">★ </w:t>
      </w:r>
      <w:r>
        <w:rPr>
          <w:rFonts w:ascii="黑体" w:eastAsia="黑体" w:hAnsi="黑体" w:cs="黑体"/>
          <w:color w:val="FF0000"/>
          <w:sz w:val="28"/>
          <w:szCs w:val="28"/>
          <w:u w:val="single" w:color="FF0000"/>
          <w:lang w:val="zh-TW" w:eastAsia="zh-TW"/>
        </w:rPr>
        <w:t>有意赴英交流学习的学生请报名</w:t>
      </w:r>
      <w:r>
        <w:rPr>
          <w:rFonts w:ascii="黑体" w:eastAsia="黑体" w:hAnsi="黑体" w:cs="黑体"/>
          <w:color w:val="FF0000"/>
          <w:sz w:val="28"/>
          <w:szCs w:val="28"/>
          <w:u w:val="single" w:color="FF0000"/>
        </w:rPr>
        <w:t>IELTS UKVI</w:t>
      </w:r>
    </w:p>
    <w:p w:rsidR="00F31130" w:rsidRDefault="00F31130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A5"/>
        <w:numPr>
          <w:ilvl w:val="0"/>
          <w:numId w:val="14"/>
        </w:numPr>
        <w:spacing w:line="276" w:lineRule="auto"/>
        <w:rPr>
          <w:rFonts w:ascii="黑体" w:eastAsia="黑体" w:hAnsi="黑体" w:cs="黑体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境外费用及奖学金</w:t>
      </w:r>
    </w:p>
    <w:p w:rsidR="00F31130" w:rsidRDefault="002B2E82">
      <w:pPr>
        <w:pStyle w:val="A5"/>
        <w:widowControl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、学费：约</w:t>
      </w:r>
      <w:r>
        <w:rPr>
          <w:rFonts w:ascii="黑体" w:eastAsia="黑体" w:hAnsi="黑体" w:cs="黑体"/>
          <w:sz w:val="28"/>
          <w:szCs w:val="28"/>
        </w:rPr>
        <w:t>21,180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英镑</w:t>
      </w:r>
      <w:r>
        <w:rPr>
          <w:rFonts w:ascii="黑体" w:eastAsia="黑体" w:hAnsi="黑体" w:cs="黑体"/>
          <w:sz w:val="28"/>
          <w:szCs w:val="28"/>
        </w:rPr>
        <w:t>/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学年（</w:t>
      </w:r>
      <w:r>
        <w:rPr>
          <w:rFonts w:ascii="黑体" w:eastAsia="黑体" w:hAnsi="黑体" w:cs="黑体"/>
          <w:sz w:val="28"/>
          <w:szCs w:val="28"/>
        </w:rPr>
        <w:t>2020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年官网学费）；</w:t>
      </w:r>
    </w:p>
    <w:p w:rsidR="00F31130" w:rsidRDefault="002B2E82">
      <w:pPr>
        <w:pStyle w:val="A5"/>
        <w:widowControl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、奖学金：根据武汉理工大学与伯明翰大学签订的校际协议，</w:t>
      </w:r>
      <w:r>
        <w:rPr>
          <w:rFonts w:ascii="黑体" w:eastAsia="黑体" w:hAnsi="黑体" w:cs="黑体"/>
          <w:sz w:val="28"/>
          <w:szCs w:val="28"/>
        </w:rPr>
        <w:t>“2+2/2+3”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</w:t>
      </w:r>
      <w:r>
        <w:rPr>
          <w:rFonts w:ascii="黑体" w:eastAsia="黑体" w:hAnsi="黑体" w:cs="黑体"/>
          <w:sz w:val="28"/>
          <w:szCs w:val="28"/>
        </w:rPr>
        <w:t>“3+1”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项目的学生享受伯明翰大学国际学生学费</w:t>
      </w:r>
      <w:r>
        <w:rPr>
          <w:rFonts w:ascii="黑体" w:eastAsia="黑体" w:hAnsi="黑体" w:cs="黑体"/>
          <w:sz w:val="28"/>
          <w:szCs w:val="28"/>
        </w:rPr>
        <w:t>20%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的减免。</w:t>
      </w:r>
    </w:p>
    <w:p w:rsidR="00F31130" w:rsidRDefault="002B2E82">
      <w:pPr>
        <w:pStyle w:val="A5"/>
        <w:widowControl/>
        <w:numPr>
          <w:ilvl w:val="0"/>
          <w:numId w:val="16"/>
        </w:numPr>
        <w:spacing w:line="276" w:lineRule="auto"/>
        <w:jc w:val="left"/>
        <w:rPr>
          <w:rFonts w:ascii="黑体" w:eastAsia="黑体" w:hAnsi="黑体" w:cs="黑体" w:hint="default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官网学费每年均有调整，不同专业学费不同。以上费用仅供参考，具体费用以当年录取通知书上的金额为准。</w:t>
      </w:r>
    </w:p>
    <w:p w:rsidR="00F31130" w:rsidRDefault="00F31130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A5"/>
        <w:numPr>
          <w:ilvl w:val="0"/>
          <w:numId w:val="17"/>
        </w:numPr>
        <w:spacing w:line="276" w:lineRule="auto"/>
        <w:rPr>
          <w:rFonts w:ascii="黑体" w:eastAsia="黑体" w:hAnsi="黑体" w:cs="黑体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报名须知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、报名截止时间：</w:t>
      </w:r>
      <w:r>
        <w:rPr>
          <w:rFonts w:ascii="黑体" w:eastAsia="黑体" w:hAnsi="黑体" w:cs="黑体"/>
          <w:color w:val="FF0000"/>
          <w:sz w:val="28"/>
          <w:szCs w:val="28"/>
          <w:u w:color="FF0000"/>
          <w:lang w:val="zh-TW" w:eastAsia="zh-TW"/>
        </w:rPr>
        <w:t>自通知发布之日起至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2020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年</w:t>
      </w:r>
      <w:r w:rsidR="00B80173"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4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月</w:t>
      </w:r>
      <w:r w:rsidR="00B80173"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7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日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、报名地点：教务处教学研究管理办公室（马房山校区东院行政楼</w:t>
      </w:r>
      <w:r>
        <w:rPr>
          <w:rFonts w:ascii="黑体" w:eastAsia="黑体" w:hAnsi="黑体" w:cs="黑体"/>
          <w:sz w:val="28"/>
          <w:szCs w:val="28"/>
        </w:rPr>
        <w:t>216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室）</w:t>
      </w:r>
    </w:p>
    <w:p w:rsidR="00F31130" w:rsidRDefault="00F31130">
      <w:pPr>
        <w:pStyle w:val="A5"/>
        <w:widowControl/>
        <w:spacing w:line="276" w:lineRule="auto"/>
        <w:ind w:firstLine="560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p0"/>
        <w:spacing w:line="276" w:lineRule="auto"/>
        <w:ind w:left="178" w:hanging="178"/>
        <w:jc w:val="left"/>
        <w:rPr>
          <w:rFonts w:ascii="黑体" w:eastAsia="黑体" w:hAnsi="黑体" w:cs="黑体" w:hint="default"/>
          <w:b/>
          <w:bCs/>
          <w:kern w:val="2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kern w:val="2"/>
          <w:sz w:val="28"/>
          <w:szCs w:val="28"/>
          <w:lang w:val="zh-TW" w:eastAsia="zh-TW"/>
        </w:rPr>
        <w:t>六、 报名咨询：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 xml:space="preserve">国际教育学院 </w:t>
      </w:r>
    </w:p>
    <w:p w:rsidR="00F31130" w:rsidRDefault="002B2E82">
      <w:pPr>
        <w:pStyle w:val="p0"/>
        <w:spacing w:line="276" w:lineRule="auto"/>
        <w:jc w:val="left"/>
        <w:rPr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 xml:space="preserve">地址：武汉理工大学马房山校区东院第四教学楼 </w:t>
      </w:r>
      <w:r>
        <w:rPr>
          <w:rFonts w:ascii="黑体" w:eastAsia="黑体" w:hAnsi="黑体" w:cs="黑体"/>
          <w:kern w:val="2"/>
          <w:sz w:val="28"/>
          <w:szCs w:val="28"/>
        </w:rPr>
        <w:t>305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办公室</w:t>
      </w:r>
    </w:p>
    <w:p w:rsidR="00F31130" w:rsidRDefault="002B2E82">
      <w:pPr>
        <w:pStyle w:val="p0"/>
        <w:spacing w:line="276" w:lineRule="auto"/>
        <w:ind w:left="980" w:hanging="980"/>
        <w:jc w:val="left"/>
        <w:rPr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电话：</w:t>
      </w:r>
      <w:r>
        <w:rPr>
          <w:rFonts w:ascii="黑体" w:eastAsia="黑体" w:hAnsi="黑体" w:cs="黑体"/>
          <w:kern w:val="2"/>
          <w:sz w:val="28"/>
          <w:szCs w:val="28"/>
        </w:rPr>
        <w:t xml:space="preserve"> 027-87859015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（吴老师</w:t>
      </w:r>
      <w:r>
        <w:rPr>
          <w:rFonts w:ascii="黑体" w:eastAsia="黑体" w:hAnsi="黑体" w:cs="黑体"/>
          <w:kern w:val="2"/>
          <w:sz w:val="28"/>
          <w:szCs w:val="28"/>
        </w:rPr>
        <w:t>/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朱老师）；</w:t>
      </w:r>
      <w:r>
        <w:rPr>
          <w:rFonts w:ascii="黑体" w:eastAsia="黑体" w:hAnsi="黑体" w:cs="黑体"/>
          <w:kern w:val="2"/>
          <w:sz w:val="28"/>
          <w:szCs w:val="28"/>
        </w:rPr>
        <w:t>027-87859268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（彭老师）；</w:t>
      </w:r>
      <w:r>
        <w:rPr>
          <w:rFonts w:ascii="黑体" w:eastAsia="黑体" w:hAnsi="黑体" w:cs="黑体"/>
          <w:kern w:val="2"/>
          <w:sz w:val="28"/>
          <w:szCs w:val="28"/>
        </w:rPr>
        <w:t>027-87859232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（李老师）</w:t>
      </w:r>
    </w:p>
    <w:p w:rsidR="00F31130" w:rsidRDefault="002B2E82">
      <w:pPr>
        <w:pStyle w:val="p0"/>
        <w:spacing w:line="276" w:lineRule="auto"/>
        <w:ind w:left="980" w:hanging="980"/>
        <w:jc w:val="left"/>
        <w:rPr>
          <w:rStyle w:val="a6"/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邮箱：</w:t>
      </w:r>
      <w:hyperlink r:id="rId7" w:history="1">
        <w:r>
          <w:rPr>
            <w:rStyle w:val="Hyperlink0"/>
          </w:rPr>
          <w:t>studyabroad@whut.edu.cn</w:t>
        </w:r>
      </w:hyperlink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>；</w:t>
      </w:r>
      <w:hyperlink r:id="rId8" w:history="1">
        <w:r>
          <w:rPr>
            <w:rStyle w:val="Hyperlink0"/>
          </w:rPr>
          <w:t>ciee@whut.edu.cn</w:t>
        </w:r>
      </w:hyperlink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 xml:space="preserve">； </w:t>
      </w:r>
      <w:r>
        <w:rPr>
          <w:rStyle w:val="a6"/>
          <w:rFonts w:ascii="黑体" w:eastAsia="黑体" w:hAnsi="黑体" w:cs="黑体"/>
          <w:sz w:val="28"/>
          <w:szCs w:val="28"/>
        </w:rPr>
        <w:t>zhumeisheng@whut.edu.cn</w:t>
      </w:r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 xml:space="preserve">； </w:t>
      </w:r>
      <w:hyperlink r:id="rId9" w:history="1">
        <w:r>
          <w:rPr>
            <w:rStyle w:val="Hyperlink0"/>
          </w:rPr>
          <w:t>zhongfa@whut.edu.cn</w:t>
        </w:r>
      </w:hyperlink>
    </w:p>
    <w:p w:rsidR="00F31130" w:rsidRDefault="002B2E82">
      <w:pPr>
        <w:pStyle w:val="p0"/>
        <w:spacing w:line="276" w:lineRule="auto"/>
        <w:jc w:val="left"/>
        <w:rPr>
          <w:rStyle w:val="a6"/>
          <w:rFonts w:ascii="黑体" w:eastAsia="黑体" w:hAnsi="黑体" w:cs="黑体" w:hint="default"/>
          <w:kern w:val="2"/>
          <w:sz w:val="28"/>
          <w:szCs w:val="28"/>
        </w:rPr>
      </w:pPr>
      <w:r>
        <w:rPr>
          <w:rStyle w:val="a6"/>
          <w:rFonts w:ascii="黑体" w:eastAsia="黑体" w:hAnsi="黑体" w:cs="黑体"/>
          <w:kern w:val="2"/>
          <w:sz w:val="28"/>
          <w:szCs w:val="28"/>
          <w:lang w:val="zh-TW" w:eastAsia="zh-TW"/>
        </w:rPr>
        <w:t>网址：</w:t>
      </w:r>
      <w:r>
        <w:rPr>
          <w:rStyle w:val="a6"/>
          <w:rFonts w:ascii="黑体" w:eastAsia="黑体" w:hAnsi="黑体" w:cs="黑体"/>
          <w:kern w:val="2"/>
          <w:sz w:val="28"/>
          <w:szCs w:val="28"/>
        </w:rPr>
        <w:t xml:space="preserve"> ciee.whut.edu.cn</w:t>
      </w:r>
    </w:p>
    <w:p w:rsidR="00F31130" w:rsidRDefault="002B2E82">
      <w:pPr>
        <w:pStyle w:val="p0"/>
        <w:spacing w:line="276" w:lineRule="auto"/>
        <w:jc w:val="left"/>
        <w:rPr>
          <w:rStyle w:val="a6"/>
          <w:rFonts w:ascii="黑体" w:eastAsia="黑体" w:hAnsi="黑体" w:cs="黑体" w:hint="default"/>
          <w:kern w:val="2"/>
          <w:sz w:val="24"/>
          <w:szCs w:val="24"/>
        </w:rPr>
      </w:pPr>
      <w:r>
        <w:rPr>
          <w:rStyle w:val="a6"/>
          <w:rFonts w:ascii="黑体" w:eastAsia="黑体" w:hAnsi="黑体" w:cs="黑体"/>
          <w:kern w:val="2"/>
          <w:sz w:val="28"/>
          <w:szCs w:val="28"/>
          <w:lang w:val="zh-TW" w:eastAsia="zh-TW"/>
        </w:rPr>
        <w:t>微信公众号：</w:t>
      </w:r>
      <w:r>
        <w:rPr>
          <w:rStyle w:val="a6"/>
          <w:rFonts w:ascii="黑体" w:eastAsia="黑体" w:hAnsi="黑体" w:cs="黑体"/>
          <w:kern w:val="2"/>
          <w:sz w:val="24"/>
          <w:szCs w:val="24"/>
          <w:lang w:val="zh-TW" w:eastAsia="zh-TW"/>
        </w:rPr>
        <w:t>武汉理工大学留学百科</w:t>
      </w:r>
    </w:p>
    <w:p w:rsidR="00F31130" w:rsidRDefault="002B2E82">
      <w:pPr>
        <w:pStyle w:val="p0"/>
        <w:spacing w:line="276" w:lineRule="auto"/>
        <w:jc w:val="center"/>
        <w:rPr>
          <w:rFonts w:hint="default"/>
        </w:rPr>
      </w:pPr>
      <w:r>
        <w:rPr>
          <w:rStyle w:val="a6"/>
          <w:rFonts w:ascii="黑体" w:eastAsia="黑体" w:hAnsi="黑体" w:cs="黑体"/>
          <w:noProof/>
          <w:sz w:val="28"/>
          <w:szCs w:val="28"/>
        </w:rPr>
        <w:drawing>
          <wp:inline distT="0" distB="0" distL="0" distR="0">
            <wp:extent cx="1163193" cy="116319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微信公众号二维码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93" cy="1163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F31130" w:rsidSect="00F31130">
      <w:pgSz w:w="11900" w:h="16840"/>
      <w:pgMar w:top="1440" w:right="1800" w:bottom="1843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6C9" w:rsidRDefault="00BE56C9" w:rsidP="00F31130">
      <w:r>
        <w:separator/>
      </w:r>
    </w:p>
  </w:endnote>
  <w:endnote w:type="continuationSeparator" w:id="1">
    <w:p w:rsidR="00BE56C9" w:rsidRDefault="00BE56C9" w:rsidP="00F3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6C9" w:rsidRDefault="00BE56C9" w:rsidP="00F31130">
      <w:r>
        <w:separator/>
      </w:r>
    </w:p>
  </w:footnote>
  <w:footnote w:type="continuationSeparator" w:id="1">
    <w:p w:rsidR="00BE56C9" w:rsidRDefault="00BE56C9" w:rsidP="00F31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10E"/>
    <w:multiLevelType w:val="hybridMultilevel"/>
    <w:tmpl w:val="7BD2B7A0"/>
    <w:styleLink w:val="1"/>
    <w:lvl w:ilvl="0" w:tplc="0E6EEF34">
      <w:start w:val="1"/>
      <w:numFmt w:val="chineseCounting"/>
      <w:suff w:val="nothing"/>
      <w:lvlText w:val="%1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6C878E">
      <w:start w:val="1"/>
      <w:numFmt w:val="chineseCounting"/>
      <w:suff w:val="nothing"/>
      <w:lvlText w:val="%2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87A18">
      <w:start w:val="1"/>
      <w:numFmt w:val="chineseCounting"/>
      <w:suff w:val="nothing"/>
      <w:lvlText w:val="%3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AAAB70">
      <w:start w:val="1"/>
      <w:numFmt w:val="chineseCounting"/>
      <w:suff w:val="nothing"/>
      <w:lvlText w:val="%4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A85EC">
      <w:start w:val="1"/>
      <w:numFmt w:val="chineseCounting"/>
      <w:suff w:val="nothing"/>
      <w:lvlText w:val="%5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E6C24">
      <w:start w:val="1"/>
      <w:numFmt w:val="chineseCounting"/>
      <w:suff w:val="nothing"/>
      <w:lvlText w:val="%6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F623A8">
      <w:start w:val="1"/>
      <w:numFmt w:val="chineseCounting"/>
      <w:suff w:val="nothing"/>
      <w:lvlText w:val="%7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0EF014">
      <w:start w:val="1"/>
      <w:numFmt w:val="chineseCounting"/>
      <w:suff w:val="nothing"/>
      <w:lvlText w:val="%8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A9C06">
      <w:start w:val="1"/>
      <w:numFmt w:val="chineseCounting"/>
      <w:suff w:val="nothing"/>
      <w:lvlText w:val="%9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5A5512"/>
    <w:multiLevelType w:val="hybridMultilevel"/>
    <w:tmpl w:val="7BD2B7A0"/>
    <w:numStyleLink w:val="1"/>
  </w:abstractNum>
  <w:abstractNum w:abstractNumId="2">
    <w:nsid w:val="05140BD2"/>
    <w:multiLevelType w:val="hybridMultilevel"/>
    <w:tmpl w:val="59D6BC4C"/>
    <w:styleLink w:val="6"/>
    <w:lvl w:ilvl="0" w:tplc="278A5DDA">
      <w:start w:val="1"/>
      <w:numFmt w:val="chineseCounting"/>
      <w:suff w:val="nothing"/>
      <w:lvlText w:val="%1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ECEBA">
      <w:start w:val="1"/>
      <w:numFmt w:val="chineseCounting"/>
      <w:suff w:val="nothing"/>
      <w:lvlText w:val="%2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BC8304">
      <w:start w:val="1"/>
      <w:numFmt w:val="chineseCounting"/>
      <w:suff w:val="nothing"/>
      <w:lvlText w:val="%3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E6E34">
      <w:start w:val="1"/>
      <w:numFmt w:val="chineseCounting"/>
      <w:suff w:val="nothing"/>
      <w:lvlText w:val="%4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325B1A">
      <w:start w:val="1"/>
      <w:numFmt w:val="chineseCounting"/>
      <w:suff w:val="nothing"/>
      <w:lvlText w:val="%5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FA0A0A">
      <w:start w:val="1"/>
      <w:numFmt w:val="chineseCounting"/>
      <w:suff w:val="nothing"/>
      <w:lvlText w:val="%6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FC5A2C">
      <w:start w:val="1"/>
      <w:numFmt w:val="chineseCounting"/>
      <w:suff w:val="nothing"/>
      <w:lvlText w:val="%7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0126C">
      <w:start w:val="1"/>
      <w:numFmt w:val="chineseCounting"/>
      <w:suff w:val="nothing"/>
      <w:lvlText w:val="%8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BE4E48">
      <w:start w:val="1"/>
      <w:numFmt w:val="chineseCounting"/>
      <w:suff w:val="nothing"/>
      <w:lvlText w:val="%9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2B415D"/>
    <w:multiLevelType w:val="hybridMultilevel"/>
    <w:tmpl w:val="ADF63922"/>
    <w:numStyleLink w:val="5"/>
  </w:abstractNum>
  <w:abstractNum w:abstractNumId="4">
    <w:nsid w:val="0D022DAC"/>
    <w:multiLevelType w:val="hybridMultilevel"/>
    <w:tmpl w:val="DD6613AE"/>
    <w:numStyleLink w:val="2"/>
  </w:abstractNum>
  <w:abstractNum w:abstractNumId="5">
    <w:nsid w:val="1E3344FF"/>
    <w:multiLevelType w:val="hybridMultilevel"/>
    <w:tmpl w:val="D2906106"/>
    <w:numStyleLink w:val="4"/>
  </w:abstractNum>
  <w:abstractNum w:abstractNumId="6">
    <w:nsid w:val="24E76A42"/>
    <w:multiLevelType w:val="hybridMultilevel"/>
    <w:tmpl w:val="59D6BC4C"/>
    <w:numStyleLink w:val="6"/>
  </w:abstractNum>
  <w:abstractNum w:abstractNumId="7">
    <w:nsid w:val="2C335125"/>
    <w:multiLevelType w:val="hybridMultilevel"/>
    <w:tmpl w:val="78C000F6"/>
    <w:numStyleLink w:val="3"/>
  </w:abstractNum>
  <w:abstractNum w:abstractNumId="8">
    <w:nsid w:val="2E6F22EE"/>
    <w:multiLevelType w:val="hybridMultilevel"/>
    <w:tmpl w:val="78C000F6"/>
    <w:styleLink w:val="3"/>
    <w:lvl w:ilvl="0" w:tplc="28DE4FEA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1E3426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92F9BC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F86CF6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091AA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E613E6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C0A2A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362116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B6E976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44A35D8"/>
    <w:multiLevelType w:val="hybridMultilevel"/>
    <w:tmpl w:val="DD6613AE"/>
    <w:styleLink w:val="2"/>
    <w:lvl w:ilvl="0" w:tplc="5BECCDD8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C80D4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A87CB6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8BDB8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0E23EC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903BE0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25946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1A108E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521D60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D7A21F0"/>
    <w:multiLevelType w:val="hybridMultilevel"/>
    <w:tmpl w:val="A148E4A8"/>
    <w:numStyleLink w:val="7"/>
  </w:abstractNum>
  <w:abstractNum w:abstractNumId="11">
    <w:nsid w:val="5BB03113"/>
    <w:multiLevelType w:val="hybridMultilevel"/>
    <w:tmpl w:val="A148E4A8"/>
    <w:styleLink w:val="7"/>
    <w:lvl w:ilvl="0" w:tplc="88CEB4C0">
      <w:start w:val="1"/>
      <w:numFmt w:val="bullet"/>
      <w:lvlText w:val="★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A7063A72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C2666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0C92D2">
      <w:start w:val="1"/>
      <w:numFmt w:val="bullet"/>
      <w:lvlText w:val="●"/>
      <w:lvlJc w:val="left"/>
      <w:pPr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C264A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926284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122CB0">
      <w:start w:val="1"/>
      <w:numFmt w:val="bullet"/>
      <w:lvlText w:val="●"/>
      <w:lvlJc w:val="left"/>
      <w:pPr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65604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292AC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1E5581C"/>
    <w:multiLevelType w:val="hybridMultilevel"/>
    <w:tmpl w:val="D2906106"/>
    <w:styleLink w:val="4"/>
    <w:lvl w:ilvl="0" w:tplc="C0F88D26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22D34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6467E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EEFAFC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A873C4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6ED70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A7C2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610D8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AAA0B8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97B6F79"/>
    <w:multiLevelType w:val="hybridMultilevel"/>
    <w:tmpl w:val="ADF63922"/>
    <w:styleLink w:val="5"/>
    <w:lvl w:ilvl="0" w:tplc="22848F70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62F12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80F4B2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E06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A502C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E2514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E358C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1C2308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C41C4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"/>
    <w:lvlOverride w:ilvl="0">
      <w:startOverride w:val="3"/>
    </w:lvlOverride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3"/>
  </w:num>
  <w:num w:numId="11">
    <w:abstractNumId w:val="3"/>
  </w:num>
  <w:num w:numId="12">
    <w:abstractNumId w:val="2"/>
  </w:num>
  <w:num w:numId="13">
    <w:abstractNumId w:val="6"/>
  </w:num>
  <w:num w:numId="14">
    <w:abstractNumId w:val="6"/>
    <w:lvlOverride w:ilvl="0">
      <w:startOverride w:val="4"/>
    </w:lvlOverride>
  </w:num>
  <w:num w:numId="15">
    <w:abstractNumId w:val="11"/>
  </w:num>
  <w:num w:numId="16">
    <w:abstractNumId w:val="10"/>
  </w:num>
  <w:num w:numId="17">
    <w:abstractNumId w:val="6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1130"/>
    <w:rsid w:val="0003681A"/>
    <w:rsid w:val="001A1BC9"/>
    <w:rsid w:val="002B2E82"/>
    <w:rsid w:val="00B80173"/>
    <w:rsid w:val="00BE56C9"/>
    <w:rsid w:val="00F3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13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130"/>
    <w:rPr>
      <w:u w:val="single"/>
    </w:rPr>
  </w:style>
  <w:style w:type="table" w:customStyle="1" w:styleId="TableNormal">
    <w:name w:val="Table Normal"/>
    <w:rsid w:val="00F31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F3113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F31130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32"/>
      <w:szCs w:val="32"/>
      <w:u w:color="000000"/>
    </w:rPr>
  </w:style>
  <w:style w:type="numbering" w:customStyle="1" w:styleId="1">
    <w:name w:val="已导入的样式“1”"/>
    <w:rsid w:val="00F31130"/>
    <w:pPr>
      <w:numPr>
        <w:numId w:val="1"/>
      </w:numPr>
    </w:pPr>
  </w:style>
  <w:style w:type="numbering" w:customStyle="1" w:styleId="2">
    <w:name w:val="已导入的样式“2”"/>
    <w:rsid w:val="00F31130"/>
    <w:pPr>
      <w:numPr>
        <w:numId w:val="3"/>
      </w:numPr>
    </w:pPr>
  </w:style>
  <w:style w:type="numbering" w:customStyle="1" w:styleId="4">
    <w:name w:val="已导入的样式“4”"/>
    <w:rsid w:val="00F31130"/>
    <w:pPr>
      <w:numPr>
        <w:numId w:val="6"/>
      </w:numPr>
    </w:pPr>
  </w:style>
  <w:style w:type="numbering" w:customStyle="1" w:styleId="3">
    <w:name w:val="已导入的样式“3”"/>
    <w:rsid w:val="00F31130"/>
    <w:pPr>
      <w:numPr>
        <w:numId w:val="8"/>
      </w:numPr>
    </w:pPr>
  </w:style>
  <w:style w:type="numbering" w:customStyle="1" w:styleId="5">
    <w:name w:val="已导入的样式“5”"/>
    <w:rsid w:val="00F31130"/>
    <w:pPr>
      <w:numPr>
        <w:numId w:val="10"/>
      </w:numPr>
    </w:pPr>
  </w:style>
  <w:style w:type="numbering" w:customStyle="1" w:styleId="6">
    <w:name w:val="已导入的样式“6”"/>
    <w:rsid w:val="00F31130"/>
    <w:pPr>
      <w:numPr>
        <w:numId w:val="12"/>
      </w:numPr>
    </w:pPr>
  </w:style>
  <w:style w:type="numbering" w:customStyle="1" w:styleId="7">
    <w:name w:val="已导入的样式“7”"/>
    <w:rsid w:val="00F31130"/>
    <w:pPr>
      <w:numPr>
        <w:numId w:val="15"/>
      </w:numPr>
    </w:pPr>
  </w:style>
  <w:style w:type="paragraph" w:customStyle="1" w:styleId="p0">
    <w:name w:val="p0"/>
    <w:rsid w:val="00F31130"/>
    <w:pPr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</w:rPr>
  </w:style>
  <w:style w:type="character" w:customStyle="1" w:styleId="a6">
    <w:name w:val="无"/>
    <w:rsid w:val="00F31130"/>
  </w:style>
  <w:style w:type="character" w:customStyle="1" w:styleId="Hyperlink0">
    <w:name w:val="Hyperlink.0"/>
    <w:basedOn w:val="a6"/>
    <w:rsid w:val="00F31130"/>
    <w:rPr>
      <w:rFonts w:ascii="黑体" w:eastAsia="黑体" w:hAnsi="黑体" w:cs="黑体"/>
      <w:color w:val="000000"/>
      <w:sz w:val="28"/>
      <w:szCs w:val="28"/>
      <w:u w:val="none" w:color="000000"/>
      <w:lang w:val="en-US"/>
    </w:rPr>
  </w:style>
  <w:style w:type="paragraph" w:styleId="a7">
    <w:name w:val="header"/>
    <w:basedOn w:val="a"/>
    <w:link w:val="Char"/>
    <w:uiPriority w:val="99"/>
    <w:semiHidden/>
    <w:unhideWhenUsed/>
    <w:rsid w:val="00036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3681A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0368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3681A"/>
    <w:rPr>
      <w:sz w:val="18"/>
      <w:szCs w:val="18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03681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3681A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e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yabroad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hongfa@whut.edu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3</cp:revision>
  <dcterms:created xsi:type="dcterms:W3CDTF">2020-03-02T06:46:00Z</dcterms:created>
  <dcterms:modified xsi:type="dcterms:W3CDTF">2020-03-03T10:49:00Z</dcterms:modified>
</cp:coreProperties>
</file>